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B2F7" w14:textId="77777777" w:rsidR="007977CD" w:rsidRPr="007977CD" w:rsidRDefault="007977CD" w:rsidP="007977CD">
      <w:pPr>
        <w:shd w:val="clear" w:color="auto" w:fill="EEEEEE"/>
        <w:spacing w:after="24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2D2D2E"/>
          <w:kern w:val="36"/>
          <w:sz w:val="30"/>
          <w:szCs w:val="30"/>
          <w14:ligatures w14:val="none"/>
        </w:rPr>
      </w:pPr>
      <w:r w:rsidRPr="007977CD">
        <w:rPr>
          <w:rFonts w:ascii="Open Sans" w:eastAsia="Times New Roman" w:hAnsi="Open Sans" w:cs="Open Sans"/>
          <w:b/>
          <w:bCs/>
          <w:color w:val="2D2D2E"/>
          <w:kern w:val="36"/>
          <w:sz w:val="30"/>
          <w:szCs w:val="30"/>
          <w14:ligatures w14:val="none"/>
        </w:rPr>
        <w:t>Покори московскую театральную сцену вместе со Знанием</w:t>
      </w:r>
    </w:p>
    <w:p w14:paraId="023FE583" w14:textId="77777777" w:rsid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Российское общество «Знание» объявило о проведении Конкурса среди школьных, студенческих и смешанных театров на лучшую постановку спектакля </w:t>
      </w:r>
      <w:r w:rsidRPr="00BB5A4A">
        <w:rPr>
          <w:rFonts w:ascii="Open Sans" w:hAnsi="Open Sans" w:cs="Open Sans"/>
          <w:b/>
          <w:bCs/>
          <w:color w:val="2D2D2E"/>
          <w:kern w:val="0"/>
          <w:sz w:val="21"/>
          <w:szCs w:val="21"/>
          <w14:ligatures w14:val="none"/>
        </w:rPr>
        <w:t>«Трудный экзамен»</w:t>
      </w: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 Всероссийского конкурса просветительских пьес </w:t>
      </w:r>
      <w:r w:rsidRPr="00BB5A4A">
        <w:rPr>
          <w:rFonts w:ascii="Open Sans" w:hAnsi="Open Sans" w:cs="Open Sans"/>
          <w:b/>
          <w:bCs/>
          <w:color w:val="2D2D2E"/>
          <w:kern w:val="0"/>
          <w:sz w:val="21"/>
          <w:szCs w:val="21"/>
          <w14:ligatures w14:val="none"/>
        </w:rPr>
        <w:t>«</w:t>
      </w:r>
      <w:proofErr w:type="spellStart"/>
      <w:r w:rsidRPr="00BB5A4A">
        <w:rPr>
          <w:rFonts w:ascii="Open Sans" w:hAnsi="Open Sans" w:cs="Open Sans"/>
          <w:b/>
          <w:bCs/>
          <w:color w:val="2D2D2E"/>
          <w:kern w:val="0"/>
          <w:sz w:val="21"/>
          <w:szCs w:val="21"/>
          <w14:ligatures w14:val="none"/>
        </w:rPr>
        <w:t>Знание.Театр</w:t>
      </w:r>
      <w:proofErr w:type="spellEnd"/>
      <w:r w:rsidRPr="00BB5A4A">
        <w:rPr>
          <w:rFonts w:ascii="Open Sans" w:hAnsi="Open Sans" w:cs="Open Sans"/>
          <w:b/>
          <w:bCs/>
          <w:color w:val="2D2D2E"/>
          <w:kern w:val="0"/>
          <w:sz w:val="21"/>
          <w:szCs w:val="21"/>
          <w14:ligatures w14:val="none"/>
        </w:rPr>
        <w:t>»</w:t>
      </w: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.</w:t>
      </w:r>
    </w:p>
    <w:p w14:paraId="5746021D" w14:textId="77777777" w:rsidR="00BB5A4A" w:rsidRP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</w:p>
    <w:p w14:paraId="68547787" w14:textId="77777777" w:rsidR="00BB5A4A" w:rsidRPr="00BB5A4A" w:rsidRDefault="00BB5A4A" w:rsidP="00BB5A4A">
      <w:pPr>
        <w:spacing w:after="30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Партнерами конкурса выступает Всероссийский проект «Школьная классика» Российского движения детей и молодежи «Движение первых». Конкурс реализуется при поддержке Минкультуры России в рамках межведомственного проекта «Культура для школьников».</w:t>
      </w:r>
    </w:p>
    <w:p w14:paraId="31578F20" w14:textId="77777777" w:rsid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b/>
          <w:bCs/>
          <w:i/>
          <w:iCs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Участники конкурса: школьники и студенты от 14 до 25 лет.</w:t>
      </w: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</w:r>
      <w:r w:rsidRPr="00BB5A4A">
        <w:rPr>
          <w:rFonts w:ascii="Open Sans" w:hAnsi="Open Sans" w:cs="Open Sans"/>
          <w:b/>
          <w:bCs/>
          <w:i/>
          <w:iCs/>
          <w:color w:val="2D2D2E"/>
          <w:kern w:val="0"/>
          <w:sz w:val="21"/>
          <w:szCs w:val="21"/>
          <w14:ligatures w14:val="none"/>
        </w:rPr>
        <w:t>Участникам предлагается поставить спектакль по пьесе «Трудный экзамен», показать его зрителю, снять на видео и направить видеозапись с сопроводительным пакетом документов на экспертную оценку.</w:t>
      </w:r>
    </w:p>
    <w:p w14:paraId="0B7A64F1" w14:textId="33CBED33" w:rsidR="00BB5A4A" w:rsidRP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На сайте конкурса https://theatre.znanierussia.ru для участников доступны обучающий фильм и методические материалы по постановке спектакля «Трудный экзамен».</w:t>
      </w:r>
    </w:p>
    <w:p w14:paraId="213B4BB5" w14:textId="77777777" w:rsid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Экспертная оценка проходит в 2 этапа.</w:t>
      </w:r>
    </w:p>
    <w:p w14:paraId="386129DA" w14:textId="77777777" w:rsid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На первом этапе эксперты оценивают присланные работы, формируют рейтинговый список по каждому субъекту. Работа, занявшая 1 место в рейтинге субъекта, становится лауреатом Конкурса и проходит во второй этап.</w:t>
      </w:r>
    </w:p>
    <w:p w14:paraId="171D0259" w14:textId="77777777" w:rsidR="00ED7ED4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Во 2 этапе эксперты формируют итоговый рейтинговый список среди лауреатов конкурса. Обладателем Гран-при становится работа, занявшая 1 место в рейтинге – она будет показана на московской театральной площадке. Работам, ставшим лауреатами Конкурса будет оказано содействие в показе своей постановки на театральной площадке в своем субъекте.</w:t>
      </w:r>
    </w:p>
    <w:p w14:paraId="717F356F" w14:textId="63AA4B70" w:rsidR="00BB5A4A" w:rsidRP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Список театров, участвующих в проекте будет опубликован на сайте конкурса.</w:t>
      </w:r>
    </w:p>
    <w:p w14:paraId="514B7F4E" w14:textId="77777777" w:rsid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Регистрация театральных коллективов: до 30 июня 2023 г.</w:t>
      </w: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Подача конкурсных работ на экспертную оценку: до 30 сентября 2023 г.</w:t>
      </w: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Экспертная оценка конкурсных работ и публикация результатов Конкурса: 15 октября 2023 г.</w:t>
      </w:r>
    </w:p>
    <w:p w14:paraId="3831D2E5" w14:textId="028F5F66" w:rsidR="00BB5A4A" w:rsidRP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Показ лучшего спектакля из каждого субъекта Российской Федерации на профессиональной театральной площадке в своем регионе: октябрь-ноябрь 2023 г.</w:t>
      </w: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br/>
        <w:t>Показ спектакля – обладателя Гран-при в Москве: ноябрь 2023 г.</w:t>
      </w:r>
    </w:p>
    <w:p w14:paraId="6A74607F" w14:textId="77777777" w:rsidR="00BB5A4A" w:rsidRPr="00BB5A4A" w:rsidRDefault="00BB5A4A" w:rsidP="00BB5A4A">
      <w:pPr>
        <w:spacing w:after="0" w:line="240" w:lineRule="auto"/>
        <w:divId w:val="350231240"/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</w:pPr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Дополнительную информацию о Проекте можно получить на сайте </w:t>
      </w:r>
      <w:hyperlink r:id="rId4" w:history="1">
        <w:r w:rsidRPr="00BB5A4A">
          <w:rPr>
            <w:rFonts w:ascii="Open Sans" w:hAnsi="Open Sans" w:cs="Open Sans"/>
            <w:color w:val="2D2D2E"/>
            <w:kern w:val="0"/>
            <w:sz w:val="21"/>
            <w:szCs w:val="21"/>
            <w:u w:val="single"/>
            <w14:ligatures w14:val="none"/>
          </w:rPr>
          <w:t>https://theatre.znanierussia.ru</w:t>
        </w:r>
      </w:hyperlink>
      <w:r w:rsidRPr="00BB5A4A">
        <w:rPr>
          <w:rFonts w:ascii="Open Sans" w:hAnsi="Open Sans" w:cs="Open Sans"/>
          <w:color w:val="2D2D2E"/>
          <w:kern w:val="0"/>
          <w:sz w:val="21"/>
          <w:szCs w:val="21"/>
          <w14:ligatures w14:val="none"/>
        </w:rPr>
        <w:t> и по электронной почте theatre@znanierussia.ru.</w:t>
      </w:r>
    </w:p>
    <w:p w14:paraId="3CCEA158" w14:textId="77777777" w:rsidR="007977CD" w:rsidRDefault="007977CD"/>
    <w:sectPr w:rsidR="0079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CD"/>
    <w:rsid w:val="007977CD"/>
    <w:rsid w:val="00BB5A4A"/>
    <w:rsid w:val="00E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1B734"/>
  <w15:chartTrackingRefBased/>
  <w15:docId w15:val="{59FDF9FB-4966-5040-867A-E2F99C4A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theatre.znanierussia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Багаев</dc:creator>
  <cp:keywords/>
  <dc:description/>
  <cp:lastModifiedBy>Ибрагим Багаев</cp:lastModifiedBy>
  <cp:revision>2</cp:revision>
  <dcterms:created xsi:type="dcterms:W3CDTF">2023-06-09T17:20:00Z</dcterms:created>
  <dcterms:modified xsi:type="dcterms:W3CDTF">2023-06-09T17:20:00Z</dcterms:modified>
</cp:coreProperties>
</file>